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F2" w:rsidRPr="00D70CD3" w:rsidRDefault="00D70CD3" w:rsidP="00D70C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70CD3">
        <w:rPr>
          <w:rFonts w:ascii="Arial" w:hAnsi="Arial" w:cs="Arial"/>
          <w:sz w:val="24"/>
          <w:szCs w:val="24"/>
        </w:rPr>
        <w:t>Gueye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L, </w:t>
      </w:r>
      <w:proofErr w:type="spellStart"/>
      <w:r w:rsidRPr="00D70CD3">
        <w:rPr>
          <w:rFonts w:ascii="Arial" w:hAnsi="Arial" w:cs="Arial"/>
          <w:sz w:val="24"/>
          <w:szCs w:val="24"/>
        </w:rPr>
        <w:t>Thiam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D70CD3">
        <w:rPr>
          <w:rFonts w:ascii="Arial" w:hAnsi="Arial" w:cs="Arial"/>
          <w:sz w:val="24"/>
          <w:szCs w:val="24"/>
        </w:rPr>
        <w:t>Gueye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SM, </w:t>
      </w:r>
      <w:proofErr w:type="spellStart"/>
      <w:r w:rsidRPr="00D70CD3">
        <w:rPr>
          <w:rFonts w:ascii="Arial" w:hAnsi="Arial" w:cs="Arial"/>
          <w:sz w:val="24"/>
          <w:szCs w:val="24"/>
        </w:rPr>
        <w:t>Phiri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D70CD3">
        <w:rPr>
          <w:rFonts w:ascii="Arial" w:hAnsi="Arial" w:cs="Arial"/>
          <w:sz w:val="24"/>
          <w:szCs w:val="24"/>
        </w:rPr>
        <w:t>Ndiaye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MM, </w:t>
      </w:r>
      <w:proofErr w:type="spellStart"/>
      <w:r w:rsidRPr="00D70CD3">
        <w:rPr>
          <w:rFonts w:ascii="Arial" w:hAnsi="Arial" w:cs="Arial"/>
          <w:sz w:val="24"/>
          <w:szCs w:val="24"/>
        </w:rPr>
        <w:t>Mahamat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S, </w:t>
      </w:r>
      <w:proofErr w:type="spellStart"/>
      <w:r w:rsidRPr="00D70CD3">
        <w:rPr>
          <w:rFonts w:ascii="Arial" w:hAnsi="Arial" w:cs="Arial"/>
          <w:sz w:val="24"/>
          <w:szCs w:val="24"/>
        </w:rPr>
        <w:t>Diop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AP, </w:t>
      </w:r>
      <w:proofErr w:type="spellStart"/>
      <w:r w:rsidRPr="00D70CD3">
        <w:rPr>
          <w:rFonts w:ascii="Arial" w:hAnsi="Arial" w:cs="Arial"/>
          <w:sz w:val="24"/>
          <w:szCs w:val="24"/>
        </w:rPr>
        <w:t>Cisse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ML. Infiltrating tubular-papillary carcinoma of supernumerary left breast: A case report. J Case Rep Images </w:t>
      </w:r>
      <w:proofErr w:type="spellStart"/>
      <w:r w:rsidRPr="00D70CD3">
        <w:rPr>
          <w:rFonts w:ascii="Arial" w:hAnsi="Arial" w:cs="Arial"/>
          <w:sz w:val="24"/>
          <w:szCs w:val="24"/>
        </w:rPr>
        <w:t>Obstet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70CD3">
        <w:rPr>
          <w:rFonts w:ascii="Arial" w:hAnsi="Arial" w:cs="Arial"/>
          <w:sz w:val="24"/>
          <w:szCs w:val="24"/>
        </w:rPr>
        <w:t>Gynecol</w:t>
      </w:r>
      <w:proofErr w:type="spellEnd"/>
      <w:r w:rsidRPr="00D70CD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70CD3">
        <w:rPr>
          <w:rFonts w:ascii="Arial" w:hAnsi="Arial" w:cs="Arial"/>
          <w:sz w:val="24"/>
          <w:szCs w:val="24"/>
        </w:rPr>
        <w:t>2019</w:t>
      </w:r>
      <w:proofErr w:type="gramStart"/>
      <w:r w:rsidRPr="00D70CD3">
        <w:rPr>
          <w:rFonts w:ascii="Arial" w:hAnsi="Arial" w:cs="Arial"/>
          <w:sz w:val="24"/>
          <w:szCs w:val="24"/>
        </w:rPr>
        <w:t>;5:100047Z08LG2019</w:t>
      </w:r>
      <w:proofErr w:type="gramEnd"/>
      <w:r w:rsidRPr="00D70CD3">
        <w:rPr>
          <w:rFonts w:ascii="Arial" w:hAnsi="Arial" w:cs="Arial"/>
          <w:sz w:val="24"/>
          <w:szCs w:val="24"/>
        </w:rPr>
        <w:t>.</w:t>
      </w:r>
    </w:p>
    <w:sectPr w:rsidR="00CB77F2" w:rsidRPr="00D70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3"/>
    <w:rsid w:val="00CB77F2"/>
    <w:rsid w:val="00D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CD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CD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2019-05-02T12:56:00Z</dcterms:created>
  <dcterms:modified xsi:type="dcterms:W3CDTF">2019-05-02T12:57:00Z</dcterms:modified>
</cp:coreProperties>
</file>