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F2" w:rsidRPr="00CB4058" w:rsidRDefault="00CB4058" w:rsidP="00CB405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CB4058">
        <w:rPr>
          <w:sz w:val="24"/>
          <w:szCs w:val="24"/>
        </w:rPr>
        <w:t xml:space="preserve">Gad N, Yam C, Thomas S. Primary amenorrhea due to sclerotic or “non-functional” endometrium: Case presentation and literature review. J Case Rep Images </w:t>
      </w:r>
      <w:proofErr w:type="spellStart"/>
      <w:r w:rsidRPr="00CB4058">
        <w:rPr>
          <w:sz w:val="24"/>
          <w:szCs w:val="24"/>
        </w:rPr>
        <w:t>Obstet</w:t>
      </w:r>
      <w:proofErr w:type="spellEnd"/>
      <w:r w:rsidRPr="00CB4058">
        <w:rPr>
          <w:sz w:val="24"/>
          <w:szCs w:val="24"/>
        </w:rPr>
        <w:t xml:space="preserve"> </w:t>
      </w:r>
      <w:proofErr w:type="spellStart"/>
      <w:r w:rsidRPr="00CB4058">
        <w:rPr>
          <w:sz w:val="24"/>
          <w:szCs w:val="24"/>
        </w:rPr>
        <w:t>Gynecol</w:t>
      </w:r>
      <w:proofErr w:type="spellEnd"/>
      <w:r w:rsidRPr="00CB4058">
        <w:rPr>
          <w:sz w:val="24"/>
          <w:szCs w:val="24"/>
        </w:rPr>
        <w:t xml:space="preserve"> 2020</w:t>
      </w:r>
      <w:proofErr w:type="gramStart"/>
      <w:r w:rsidRPr="00CB4058">
        <w:rPr>
          <w:sz w:val="24"/>
          <w:szCs w:val="24"/>
        </w:rPr>
        <w:t>;6</w:t>
      </w:r>
      <w:proofErr w:type="gramEnd"/>
      <w:r w:rsidRPr="00CB4058">
        <w:rPr>
          <w:sz w:val="24"/>
          <w:szCs w:val="24"/>
        </w:rPr>
        <w:t>: 100064Z08NG2020.</w:t>
      </w:r>
    </w:p>
    <w:sectPr w:rsidR="00FD1EF2" w:rsidRPr="00CB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58"/>
    <w:rsid w:val="00CB4058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40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40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2020-08-31T08:27:00Z</dcterms:created>
  <dcterms:modified xsi:type="dcterms:W3CDTF">2020-08-31T08:28:00Z</dcterms:modified>
</cp:coreProperties>
</file>