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A45" w:rsidRPr="008A7A45" w:rsidRDefault="008A7A45" w:rsidP="008A7A45">
      <w:pPr>
        <w:spacing w:line="360" w:lineRule="auto"/>
        <w:jc w:val="both"/>
        <w:rPr>
          <w:color w:val="221E1F"/>
          <w:sz w:val="24"/>
          <w:szCs w:val="24"/>
        </w:rPr>
      </w:pPr>
      <w:proofErr w:type="spellStart"/>
      <w:r w:rsidRPr="008A7A45">
        <w:rPr>
          <w:color w:val="221E1F"/>
          <w:sz w:val="24"/>
          <w:szCs w:val="24"/>
        </w:rPr>
        <w:t>McGough</w:t>
      </w:r>
      <w:proofErr w:type="spellEnd"/>
      <w:r w:rsidRPr="008A7A45">
        <w:rPr>
          <w:color w:val="221E1F"/>
          <w:sz w:val="24"/>
          <w:szCs w:val="24"/>
        </w:rPr>
        <w:t xml:space="preserve"> C, Berry L. </w:t>
      </w:r>
      <w:proofErr w:type="spellStart"/>
      <w:r w:rsidRPr="008A7A45">
        <w:rPr>
          <w:color w:val="221E1F"/>
          <w:sz w:val="24"/>
          <w:szCs w:val="24"/>
        </w:rPr>
        <w:t>Hyperreactio</w:t>
      </w:r>
      <w:proofErr w:type="spellEnd"/>
      <w:r w:rsidRPr="008A7A45">
        <w:rPr>
          <w:color w:val="221E1F"/>
          <w:sz w:val="24"/>
          <w:szCs w:val="24"/>
        </w:rPr>
        <w:t xml:space="preserve"> </w:t>
      </w:r>
      <w:proofErr w:type="spellStart"/>
      <w:r w:rsidRPr="008A7A45">
        <w:rPr>
          <w:color w:val="221E1F"/>
          <w:sz w:val="24"/>
          <w:szCs w:val="24"/>
        </w:rPr>
        <w:t>luteinalis</w:t>
      </w:r>
      <w:proofErr w:type="spellEnd"/>
      <w:r w:rsidRPr="008A7A45">
        <w:rPr>
          <w:color w:val="221E1F"/>
          <w:sz w:val="24"/>
          <w:szCs w:val="24"/>
        </w:rPr>
        <w:t xml:space="preserve"> with enlargement in the postpartum period: Case report and review of the literature. J Case Rep Imag</w:t>
      </w:r>
      <w:bookmarkStart w:id="0" w:name="_GoBack"/>
      <w:bookmarkEnd w:id="0"/>
      <w:r w:rsidRPr="008A7A45">
        <w:rPr>
          <w:color w:val="221E1F"/>
          <w:sz w:val="24"/>
          <w:szCs w:val="24"/>
        </w:rPr>
        <w:t xml:space="preserve">es </w:t>
      </w:r>
      <w:proofErr w:type="spellStart"/>
      <w:r w:rsidRPr="008A7A45">
        <w:rPr>
          <w:color w:val="221E1F"/>
          <w:sz w:val="24"/>
          <w:szCs w:val="24"/>
        </w:rPr>
        <w:t>Obstet</w:t>
      </w:r>
      <w:proofErr w:type="spellEnd"/>
      <w:r w:rsidRPr="008A7A45">
        <w:rPr>
          <w:color w:val="221E1F"/>
          <w:sz w:val="24"/>
          <w:szCs w:val="24"/>
        </w:rPr>
        <w:t xml:space="preserve"> </w:t>
      </w:r>
      <w:proofErr w:type="spellStart"/>
      <w:r w:rsidRPr="008A7A45">
        <w:rPr>
          <w:color w:val="221E1F"/>
          <w:sz w:val="24"/>
          <w:szCs w:val="24"/>
        </w:rPr>
        <w:t>Gynecol</w:t>
      </w:r>
      <w:proofErr w:type="spellEnd"/>
      <w:r w:rsidRPr="008A7A45">
        <w:rPr>
          <w:color w:val="221E1F"/>
          <w:sz w:val="24"/>
          <w:szCs w:val="24"/>
        </w:rPr>
        <w:t xml:space="preserve"> 2024</w:t>
      </w:r>
      <w:proofErr w:type="gramStart"/>
      <w:r w:rsidRPr="008A7A45">
        <w:rPr>
          <w:color w:val="221E1F"/>
          <w:sz w:val="24"/>
          <w:szCs w:val="24"/>
        </w:rPr>
        <w:t>;11</w:t>
      </w:r>
      <w:proofErr w:type="gramEnd"/>
      <w:r w:rsidRPr="008A7A45">
        <w:rPr>
          <w:color w:val="221E1F"/>
          <w:sz w:val="24"/>
          <w:szCs w:val="24"/>
        </w:rPr>
        <w:t>(1):17–21.</w:t>
      </w:r>
    </w:p>
    <w:sectPr w:rsidR="008A7A45" w:rsidRPr="008A7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A45"/>
    <w:rsid w:val="00563839"/>
    <w:rsid w:val="007B6B4A"/>
    <w:rsid w:val="008A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7A4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7A4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1</cp:revision>
  <dcterms:created xsi:type="dcterms:W3CDTF">2025-01-21T10:19:00Z</dcterms:created>
  <dcterms:modified xsi:type="dcterms:W3CDTF">2025-01-21T10:20:00Z</dcterms:modified>
</cp:coreProperties>
</file>