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CDC" w14:textId="57C6A528" w:rsidR="0013709F" w:rsidRDefault="00080438" w:rsidP="00080438">
      <w:pPr>
        <w:jc w:val="both"/>
      </w:pPr>
      <w:r w:rsidRPr="00080438">
        <w:t xml:space="preserve">Walsh AL, Salmen N, Bruck L. Flexible cystoscopy and vaginoscopy: A case series on assisted endometrial biopsy to overcome anatomic barriers. J Case Rep Images Obstet </w:t>
      </w:r>
      <w:proofErr w:type="spellStart"/>
      <w:r w:rsidRPr="00080438">
        <w:t>Gynecol</w:t>
      </w:r>
      <w:proofErr w:type="spellEnd"/>
      <w:r w:rsidRPr="00080438">
        <w:t xml:space="preserve"> 2025;11(1):73–76.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38"/>
    <w:rsid w:val="00080438"/>
    <w:rsid w:val="0013709F"/>
    <w:rsid w:val="00180D44"/>
    <w:rsid w:val="00603117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3809"/>
  <w15:chartTrackingRefBased/>
  <w15:docId w15:val="{568F63B8-9BA3-4497-BB4C-EE336C11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4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4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4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4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2025-05-06T13:46:00Z</dcterms:created>
  <dcterms:modified xsi:type="dcterms:W3CDTF">2025-05-06T13:47:00Z</dcterms:modified>
</cp:coreProperties>
</file>