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4F98" w14:textId="77F215B8" w:rsidR="0013709F" w:rsidRPr="00C84C68" w:rsidRDefault="00C84C68" w:rsidP="00C84C68">
      <w:pPr>
        <w:spacing w:line="360" w:lineRule="auto"/>
        <w:jc w:val="both"/>
        <w:rPr>
          <w:rFonts w:ascii="Arial" w:hAnsi="Arial" w:cs="Arial"/>
        </w:rPr>
      </w:pPr>
      <w:r w:rsidRPr="00C84C68">
        <w:rPr>
          <w:rFonts w:ascii="Arial" w:hAnsi="Arial" w:cs="Arial"/>
        </w:rPr>
        <w:t xml:space="preserve">Memon KJ, Ahsan A, Farooqui T, Mahboob H, Mustafa M. Metastatic teratoma in a young female: A rare case of bowel involvement. J Case Rep Images Obstet </w:t>
      </w:r>
      <w:proofErr w:type="spellStart"/>
      <w:r w:rsidRPr="00C84C68">
        <w:rPr>
          <w:rFonts w:ascii="Arial" w:hAnsi="Arial" w:cs="Arial"/>
        </w:rPr>
        <w:t>Gynecol</w:t>
      </w:r>
      <w:proofErr w:type="spellEnd"/>
      <w:r w:rsidRPr="00C84C68">
        <w:rPr>
          <w:rFonts w:ascii="Arial" w:hAnsi="Arial" w:cs="Arial"/>
        </w:rPr>
        <w:t xml:space="preserve"> 2025;11(1):83–88.</w:t>
      </w:r>
    </w:p>
    <w:sectPr w:rsidR="0013709F" w:rsidRPr="00C84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8"/>
    <w:rsid w:val="0013709F"/>
    <w:rsid w:val="00603117"/>
    <w:rsid w:val="00C84C68"/>
    <w:rsid w:val="00CE4D81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36FC"/>
  <w15:chartTrackingRefBased/>
  <w15:docId w15:val="{4FE274FC-519E-43EE-812B-6214E08A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2025-05-01T04:22:00Z</dcterms:created>
  <dcterms:modified xsi:type="dcterms:W3CDTF">2025-05-01T04:23:00Z</dcterms:modified>
</cp:coreProperties>
</file>