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E55B" w14:textId="20569ED5" w:rsidR="0013709F" w:rsidRPr="00496088" w:rsidRDefault="00496088" w:rsidP="00496088">
      <w:pPr>
        <w:spacing w:line="360" w:lineRule="auto"/>
        <w:jc w:val="both"/>
        <w:rPr>
          <w:rFonts w:ascii="Arial" w:hAnsi="Arial" w:cs="Arial"/>
        </w:rPr>
      </w:pPr>
      <w:r w:rsidRPr="00496088">
        <w:rPr>
          <w:rFonts w:ascii="Arial" w:hAnsi="Arial" w:cs="Arial"/>
        </w:rPr>
        <w:t xml:space="preserve">Tyagi S, Bhagat S, Gauthami M. Rare case of pregnancy and breast cancer. J Case Rep Images </w:t>
      </w:r>
      <w:proofErr w:type="spellStart"/>
      <w:r w:rsidRPr="00496088">
        <w:rPr>
          <w:rFonts w:ascii="Arial" w:hAnsi="Arial" w:cs="Arial"/>
        </w:rPr>
        <w:t>Obstet</w:t>
      </w:r>
      <w:proofErr w:type="spellEnd"/>
      <w:r w:rsidRPr="00496088">
        <w:rPr>
          <w:rFonts w:ascii="Arial" w:hAnsi="Arial" w:cs="Arial"/>
        </w:rPr>
        <w:t xml:space="preserve"> </w:t>
      </w:r>
      <w:proofErr w:type="spellStart"/>
      <w:r w:rsidRPr="00496088">
        <w:rPr>
          <w:rFonts w:ascii="Arial" w:hAnsi="Arial" w:cs="Arial"/>
        </w:rPr>
        <w:t>Gynecol</w:t>
      </w:r>
      <w:proofErr w:type="spellEnd"/>
      <w:r w:rsidRPr="00496088">
        <w:rPr>
          <w:rFonts w:ascii="Arial" w:hAnsi="Arial" w:cs="Arial"/>
        </w:rPr>
        <w:t xml:space="preserve"> 2025;11(1):89–91.</w:t>
      </w:r>
    </w:p>
    <w:sectPr w:rsidR="0013709F" w:rsidRPr="00496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88"/>
    <w:rsid w:val="0013709F"/>
    <w:rsid w:val="00496088"/>
    <w:rsid w:val="00603117"/>
    <w:rsid w:val="00B42C3B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48537"/>
  <w15:chartTrackingRefBased/>
  <w15:docId w15:val="{2BF8C6AA-E2B9-4994-83C2-912533CA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0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0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0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0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2025-05-12T08:39:00Z</dcterms:created>
  <dcterms:modified xsi:type="dcterms:W3CDTF">2025-05-12T08:41:00Z</dcterms:modified>
</cp:coreProperties>
</file>