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E4C8" w14:textId="2010C24C" w:rsidR="00C849E4" w:rsidRDefault="00C849E4" w:rsidP="00C849E4">
      <w:pPr>
        <w:spacing w:line="360" w:lineRule="auto"/>
        <w:jc w:val="both"/>
      </w:pPr>
      <w:r w:rsidRPr="00C849E4">
        <w:t xml:space="preserve">Allen H, Davis R, McElroy E, Myers J, Burke K. Implanted in the scar: A high-stakes case of </w:t>
      </w:r>
      <w:proofErr w:type="spellStart"/>
      <w:r w:rsidRPr="00C849E4">
        <w:t>cesarean</w:t>
      </w:r>
      <w:proofErr w:type="spellEnd"/>
      <w:r w:rsidRPr="00C849E4">
        <w:t xml:space="preserve"> scar ectopic pregnancy. J Case Rep Images </w:t>
      </w:r>
      <w:proofErr w:type="spellStart"/>
      <w:r w:rsidRPr="00C849E4">
        <w:t>Obstet</w:t>
      </w:r>
      <w:proofErr w:type="spellEnd"/>
      <w:r w:rsidRPr="00C849E4">
        <w:t xml:space="preserve"> </w:t>
      </w:r>
      <w:proofErr w:type="spellStart"/>
      <w:r w:rsidRPr="00C849E4">
        <w:t>Gynecol</w:t>
      </w:r>
      <w:proofErr w:type="spellEnd"/>
      <w:r w:rsidRPr="00C849E4">
        <w:t xml:space="preserve"> 2025;11(2):47–49.</w:t>
      </w:r>
    </w:p>
    <w:sectPr w:rsidR="00C8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E4"/>
    <w:rsid w:val="0013709F"/>
    <w:rsid w:val="0015459F"/>
    <w:rsid w:val="001E419D"/>
    <w:rsid w:val="004F6E26"/>
    <w:rsid w:val="00603117"/>
    <w:rsid w:val="00BA5B45"/>
    <w:rsid w:val="00C849E4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B07E"/>
  <w15:chartTrackingRefBased/>
  <w15:docId w15:val="{682823FC-57C1-4BC6-9969-7BC75693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2025-11-26T08:34:00Z</dcterms:created>
  <dcterms:modified xsi:type="dcterms:W3CDTF">2025-11-26T08:35:00Z</dcterms:modified>
</cp:coreProperties>
</file>