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BC4D" w14:textId="0465B167" w:rsidR="00C964F7" w:rsidRDefault="00C964F7" w:rsidP="00C964F7">
      <w:pPr>
        <w:jc w:val="both"/>
      </w:pPr>
      <w:proofErr w:type="spellStart"/>
      <w:r w:rsidRPr="00C964F7">
        <w:t>Terschueren</w:t>
      </w:r>
      <w:proofErr w:type="spellEnd"/>
      <w:r w:rsidRPr="00C964F7">
        <w:t xml:space="preserve"> A, </w:t>
      </w:r>
      <w:proofErr w:type="spellStart"/>
      <w:r w:rsidRPr="00C964F7">
        <w:t>Siewertsz</w:t>
      </w:r>
      <w:proofErr w:type="spellEnd"/>
      <w:r w:rsidRPr="00C964F7">
        <w:t xml:space="preserve"> van </w:t>
      </w:r>
      <w:proofErr w:type="spellStart"/>
      <w:r w:rsidRPr="00C964F7">
        <w:t>Reesema</w:t>
      </w:r>
      <w:proofErr w:type="spellEnd"/>
      <w:r w:rsidRPr="00C964F7">
        <w:t xml:space="preserve"> L, Hudgens J. A rare complication of dilation and evacuation: Unrecognized extrauterine retained products of conception. J Case Rep Images </w:t>
      </w:r>
      <w:proofErr w:type="spellStart"/>
      <w:r w:rsidRPr="00C964F7">
        <w:t>Obstet</w:t>
      </w:r>
      <w:proofErr w:type="spellEnd"/>
      <w:r w:rsidRPr="00C964F7">
        <w:t xml:space="preserve"> </w:t>
      </w:r>
      <w:proofErr w:type="spellStart"/>
      <w:r w:rsidRPr="00C964F7">
        <w:t>Gynecol</w:t>
      </w:r>
      <w:proofErr w:type="spellEnd"/>
      <w:r w:rsidRPr="00C964F7">
        <w:t xml:space="preserve"> 2025;11(2):50–54.</w:t>
      </w:r>
    </w:p>
    <w:sectPr w:rsidR="00C9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F7"/>
    <w:rsid w:val="0013709F"/>
    <w:rsid w:val="0015459F"/>
    <w:rsid w:val="001E419D"/>
    <w:rsid w:val="004F6E26"/>
    <w:rsid w:val="00603117"/>
    <w:rsid w:val="00971085"/>
    <w:rsid w:val="00C964F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CE35"/>
  <w15:chartTrackingRefBased/>
  <w15:docId w15:val="{BA21462E-B384-4D91-9994-467614C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2025-12-17T06:33:00Z</dcterms:created>
  <dcterms:modified xsi:type="dcterms:W3CDTF">2025-12-17T06:33:00Z</dcterms:modified>
</cp:coreProperties>
</file>