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4A3F" w14:textId="011FC410" w:rsidR="00CF7ABC" w:rsidRDefault="00CF7ABC" w:rsidP="00CF7ABC">
      <w:pPr>
        <w:spacing w:line="360" w:lineRule="auto"/>
        <w:jc w:val="both"/>
      </w:pPr>
      <w:r w:rsidRPr="00CF7ABC">
        <w:t xml:space="preserve">Perdomo B, Soria J, Toney J. Unexplained third-trimester intrauterine </w:t>
      </w:r>
      <w:proofErr w:type="spellStart"/>
      <w:r w:rsidRPr="00CF7ABC">
        <w:t>fetal</w:t>
      </w:r>
      <w:proofErr w:type="spellEnd"/>
      <w:r w:rsidRPr="00CF7ABC">
        <w:t xml:space="preserve"> demise after vanishing twin syndrome in a large for gestational age </w:t>
      </w:r>
      <w:proofErr w:type="spellStart"/>
      <w:r w:rsidRPr="00CF7ABC">
        <w:t>fetus</w:t>
      </w:r>
      <w:proofErr w:type="spellEnd"/>
      <w:r w:rsidRPr="00CF7ABC">
        <w:t xml:space="preserve">: Possible association of subclinical and multifactorial hypercoagulability factors. J Case Rep Images </w:t>
      </w:r>
      <w:proofErr w:type="spellStart"/>
      <w:r w:rsidRPr="00CF7ABC">
        <w:t>Obstet</w:t>
      </w:r>
      <w:proofErr w:type="spellEnd"/>
      <w:r w:rsidRPr="00CF7ABC">
        <w:t xml:space="preserve"> </w:t>
      </w:r>
      <w:proofErr w:type="spellStart"/>
      <w:r w:rsidRPr="00CF7ABC">
        <w:t>Gynecol</w:t>
      </w:r>
      <w:proofErr w:type="spellEnd"/>
      <w:r w:rsidRPr="00CF7ABC">
        <w:t xml:space="preserve"> 2026;12(1):18–21.</w:t>
      </w:r>
    </w:p>
    <w:sectPr w:rsidR="00CF7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BC"/>
    <w:rsid w:val="0013709F"/>
    <w:rsid w:val="0015459F"/>
    <w:rsid w:val="001B6D82"/>
    <w:rsid w:val="001E419D"/>
    <w:rsid w:val="004F6E26"/>
    <w:rsid w:val="00603117"/>
    <w:rsid w:val="00913AB0"/>
    <w:rsid w:val="00CF7ABC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FC75"/>
  <w15:chartTrackingRefBased/>
  <w15:docId w15:val="{5A803BCC-E5B0-4816-B47C-22EB91E6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2026-03-18T04:46:00Z</dcterms:created>
  <dcterms:modified xsi:type="dcterms:W3CDTF">2026-03-18T04:47:00Z</dcterms:modified>
</cp:coreProperties>
</file>